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8F4" w:rsidRDefault="00ED38F4" w:rsidP="00ED38F4">
      <w:pPr>
        <w:pStyle w:val="NormaaliWeb"/>
        <w:spacing w:before="0" w:beforeAutospacing="0" w:after="0" w:afterAutospacing="0"/>
        <w:rPr>
          <w:rStyle w:val="Voimakas"/>
          <w:rFonts w:ascii="Calibri" w:hAnsi="Calibri"/>
          <w:color w:val="000000"/>
          <w:u w:val="single"/>
        </w:rPr>
      </w:pPr>
    </w:p>
    <w:p w:rsidR="00ED38F4" w:rsidRDefault="00ED38F4" w:rsidP="00ED38F4">
      <w:pPr>
        <w:pStyle w:val="NormaaliWeb"/>
        <w:spacing w:before="0" w:beforeAutospacing="0" w:after="0" w:afterAutospacing="0"/>
        <w:rPr>
          <w:rStyle w:val="Voimakas"/>
          <w:rFonts w:ascii="Calibri" w:hAnsi="Calibri"/>
          <w:color w:val="000000"/>
          <w:u w:val="single"/>
        </w:rPr>
      </w:pPr>
    </w:p>
    <w:p w:rsidR="00ED38F4" w:rsidRDefault="00ED38F4" w:rsidP="00ED38F4">
      <w:pPr>
        <w:pStyle w:val="NormaaliWeb"/>
        <w:spacing w:before="0" w:beforeAutospacing="0" w:after="0" w:afterAutospacing="0"/>
        <w:rPr>
          <w:rStyle w:val="Voimakas"/>
          <w:rFonts w:ascii="Calibri" w:hAnsi="Calibri"/>
          <w:color w:val="000000"/>
          <w:u w:val="single"/>
        </w:rPr>
      </w:pPr>
    </w:p>
    <w:p w:rsidR="00ED38F4" w:rsidRDefault="00ED38F4" w:rsidP="00ED38F4">
      <w:pPr>
        <w:pStyle w:val="NormaaliWeb"/>
        <w:spacing w:before="0" w:beforeAutospacing="0" w:after="0" w:afterAutospacing="0"/>
        <w:rPr>
          <w:rFonts w:ascii="Calibri" w:hAnsi="Calibri"/>
          <w:color w:val="000000"/>
          <w:u w:val="single"/>
        </w:rPr>
      </w:pPr>
      <w:bookmarkStart w:id="0" w:name="_GoBack"/>
      <w:bookmarkEnd w:id="0"/>
      <w:r>
        <w:rPr>
          <w:rStyle w:val="Voimakas"/>
          <w:rFonts w:ascii="Calibri" w:hAnsi="Calibri"/>
          <w:color w:val="000000"/>
          <w:u w:val="single"/>
        </w:rPr>
        <w:t>Opiskelun erityiset painoalueet</w:t>
      </w:r>
    </w:p>
    <w:p w:rsidR="00ED38F4" w:rsidRDefault="00ED38F4" w:rsidP="00ED38F4">
      <w:pPr>
        <w:pStyle w:val="NormaaliWeb"/>
        <w:spacing w:before="0" w:beforeAutospacing="0" w:after="0" w:afterAutospacing="0"/>
        <w:rPr>
          <w:rFonts w:ascii="Calibri" w:hAnsi="Calibri"/>
          <w:color w:val="000000"/>
        </w:rPr>
      </w:pPr>
    </w:p>
    <w:p w:rsidR="00ED38F4" w:rsidRDefault="00ED38F4" w:rsidP="00ED38F4">
      <w:pPr>
        <w:pStyle w:val="NormaaliWeb"/>
        <w:spacing w:before="0" w:beforeAutospacing="0" w:after="0" w:afterAutospacing="0"/>
        <w:rPr>
          <w:rFonts w:ascii="Calibri" w:hAnsi="Calibri"/>
          <w:color w:val="000000"/>
        </w:rPr>
      </w:pPr>
      <w:r>
        <w:rPr>
          <w:rStyle w:val="Voimakas"/>
          <w:rFonts w:ascii="Calibri" w:hAnsi="Calibri"/>
          <w:color w:val="000000"/>
        </w:rPr>
        <w:t>Ennen erityisen tuen päätöksen tekemistä ja oppimäärän yksilöllistämistä tulee oppilaalle olla määriteltynä opiskelun erityiset painoalueet.</w:t>
      </w:r>
      <w:r>
        <w:rPr>
          <w:rFonts w:ascii="Calibri" w:hAnsi="Calibri"/>
          <w:color w:val="000000"/>
        </w:rPr>
        <w:t> Opiskelun erityisiä painoalueita käytetään tehostetussa tuessa ja erityisessä tuessa. Tavoitteena on auttaa oppilasta ottamaan haltuun opinnoissa etenemisen kannalta välttämättömät sisällöt. Keskittymällä olennaiseen oppilaalle jää voimavaroja vahvistaa oppimaan oppimisen taitojaan. </w:t>
      </w:r>
      <w:r>
        <w:rPr>
          <w:rFonts w:ascii="Calibri" w:hAnsi="Calibri"/>
          <w:color w:val="000A48"/>
          <w:sz w:val="22"/>
          <w:szCs w:val="22"/>
          <w:shd w:val="clear" w:color="auto" w:fill="FFFFFF"/>
        </w:rPr>
        <w:t>Opiskelun erityisiin painoalueisiin keskittynyt opetus on useimmiten luonteeltaan väliaikainen ratkaisu, ja opetuksen sisältöjä lisätään oppilaan edistymisen mukaisesti.</w:t>
      </w:r>
    </w:p>
    <w:p w:rsidR="00ED38F4" w:rsidRDefault="00ED38F4" w:rsidP="00ED38F4">
      <w:pPr>
        <w:pStyle w:val="NormaaliWeb"/>
        <w:spacing w:before="0" w:beforeAutospacing="0" w:after="0" w:afterAutospacing="0"/>
        <w:rPr>
          <w:rFonts w:ascii="Calibri" w:hAnsi="Calibri"/>
          <w:color w:val="000000"/>
        </w:rPr>
      </w:pPr>
      <w:r>
        <w:rPr>
          <w:rFonts w:ascii="Calibri" w:hAnsi="Calibri"/>
          <w:color w:val="000000"/>
        </w:rPr>
        <w:t>Opetusta järjestettäessä tulee huomioida oppilaan oppimisedellytykset, jolloin opetus voi perustua erilaajuisiin oppimääriin. Opiskelun erityiset painoalueet muodostetaan opetussuunnitelmassa määritellyistä, oppilaan oman vuosiluokan </w:t>
      </w:r>
      <w:r>
        <w:rPr>
          <w:rStyle w:val="Voimakas"/>
          <w:rFonts w:ascii="Calibri" w:hAnsi="Calibri"/>
          <w:color w:val="000000"/>
        </w:rPr>
        <w:t>yleisen oppimäärän keskeisimmistä sisällöistä eli niin sanotuista ydinsisällöistä</w:t>
      </w:r>
      <w:r>
        <w:rPr>
          <w:rFonts w:ascii="Calibri" w:hAnsi="Calibri"/>
          <w:color w:val="000000"/>
        </w:rPr>
        <w:t>. Eteläpohjalaisessa maakunnallisessa opetussuunnitelmassa on nämä keskeiset ydinsisällöt määritelty oppiaineittain ja vuosiluokittain. Erityisissä painoalueissa oppilas pyrkii oman vuosiluokkansa tavoitteisiin. Painoalueet eivät voi siis olla alempien vuosiluokkien tavoitteita tai sisältöjä. Opiskelun erityisiä painoalueita voidaan käyttää vain tehostetun tai erityisen tuen aikana. </w:t>
      </w:r>
    </w:p>
    <w:p w:rsidR="00AA00C4" w:rsidRPr="00ED38F4" w:rsidRDefault="00ED38F4" w:rsidP="00ED38F4">
      <w:pPr>
        <w:pStyle w:val="NormaaliWeb"/>
        <w:spacing w:before="0" w:beforeAutospacing="0" w:after="0" w:afterAutospacing="0"/>
        <w:rPr>
          <w:rFonts w:ascii="Calibri" w:hAnsi="Calibri"/>
          <w:color w:val="000000"/>
        </w:rPr>
      </w:pPr>
      <w:r>
        <w:rPr>
          <w:rFonts w:ascii="Calibri" w:hAnsi="Calibri"/>
          <w:color w:val="000000"/>
        </w:rPr>
        <w:t>Painoalueet määritellään oppimissuunnitelmassa tai HOJKS:ssa niissä oppiaineissa, joiden oppimäärää ei ole yksilöllistetty. Sisältöjen lisäksi kuvataan myös mahdollisimman konkreettisesti, miten oppilas työskentelee, mitä muuta tukea hän saa ja minkälaisin tavoin hän voi osoittaa osaamisensa. Painoalueiden määrittely on oppilasta opettavan opettajan tehtävä maakunnallisten linjausten mukaisesti. Huoltajan ja oppilaan tulee kuitenkin tietää, miten suurta osaa oppiaineen sisällöistä painoalueet edustavat ja miten niiden hallinta suhteutuu hyvän osaamisen kuvauksiin tai arvioinnin kriteereihin. Teuvalla suositellaan, että erityisiä painoalueita käytettäisiin vähintään puolen vuoden ajan ennen oppiaineen yksilöllistämistä.</w:t>
      </w:r>
    </w:p>
    <w:sectPr w:rsidR="00AA00C4" w:rsidRPr="00ED38F4" w:rsidSect="0055792C">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304"/>
  <w:hyphenationZone w:val="425"/>
  <w:characterSpacingControl w:val="doNotCompress"/>
  <w:compat/>
  <w:rsids>
    <w:rsidRoot w:val="00ED38F4"/>
    <w:rsid w:val="0055792C"/>
    <w:rsid w:val="00AA00C4"/>
    <w:rsid w:val="00BA29AD"/>
    <w:rsid w:val="00D03FBA"/>
    <w:rsid w:val="00ED38F4"/>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5792C"/>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eb">
    <w:name w:val="Normal (Web)"/>
    <w:basedOn w:val="Normaali"/>
    <w:uiPriority w:val="99"/>
    <w:unhideWhenUsed/>
    <w:rsid w:val="00ED38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ED38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38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Strong">
    <w:name w:val="Strong"/>
    <w:basedOn w:val="DefaultParagraphFont"/>
    <w:uiPriority w:val="22"/>
    <w:qFormat/>
    <w:rsid w:val="00ED38F4"/>
    <w:rPr>
      <w:b/>
      <w:bCs/>
    </w:rPr>
  </w:style>
</w:styles>
</file>

<file path=word/webSettings.xml><?xml version="1.0" encoding="utf-8"?>
<w:webSettings xmlns:r="http://schemas.openxmlformats.org/officeDocument/2006/relationships" xmlns:w="http://schemas.openxmlformats.org/wordprocessingml/2006/main">
  <w:divs>
    <w:div w:id="117264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226</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Suupohjan Seutupalvelukeskus Oy</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Mikkilät</dc:creator>
  <cp:lastModifiedBy>reijsjob</cp:lastModifiedBy>
  <cp:revision>2</cp:revision>
  <dcterms:created xsi:type="dcterms:W3CDTF">2019-11-14T13:30:00Z</dcterms:created>
  <dcterms:modified xsi:type="dcterms:W3CDTF">2019-11-14T13:30:00Z</dcterms:modified>
</cp:coreProperties>
</file>